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441226-2025-00872</w:t>
      </w:r>
    </w:p>
    <w:p>
      <w:pPr>
        <w:pStyle w:val="null3"/>
        <w:jc w:val="center"/>
        <w:outlineLvl w:val="3"/>
      </w:pPr>
      <w:r>
        <w:rPr>
          <w:sz w:val="24"/>
          <w:b/>
        </w:rPr>
        <w:t>采购项目编号：</w:t>
      </w:r>
      <w:r>
        <w:rPr>
          <w:sz w:val="24"/>
          <w:b/>
        </w:rPr>
        <w:t>ZH采2025-019</w:t>
      </w:r>
    </w:p>
    <w:p>
      <w:pPr>
        <w:pStyle w:val="null3"/>
        <w:jc w:val="center"/>
        <w:outlineLvl w:val="3"/>
      </w:pPr>
      <w:r>
        <w:rPr>
          <w:sz w:val="24"/>
          <w:b/>
        </w:rPr>
        <w:t>项目名称：</w:t>
      </w:r>
      <w:r>
        <w:rPr>
          <w:sz w:val="24"/>
          <w:b/>
        </w:rPr>
        <w:t>德庆县2025年森林质量精准提升森林抚育项目</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广东肇宏项目管理有限公司</w:t>
      </w:r>
      <w:r>
        <w:rPr/>
        <w:t>受</w:t>
      </w:r>
      <w:r>
        <w:rPr/>
        <w:t>德庆县林业局</w:t>
      </w:r>
      <w:r>
        <w:rPr/>
        <w:t>的委托，采用</w:t>
      </w:r>
      <w:r>
        <w:rPr/>
        <w:t>公开招标</w:t>
      </w:r>
      <w:r>
        <w:rPr/>
        <w:t>方式组织采购</w:t>
      </w:r>
      <w:r>
        <w:rPr/>
        <w:t>德庆县2025年森林质量精准提升森林抚育项目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德庆县2025年森林质量精准提升森林抚育项目</w:t>
      </w:r>
    </w:p>
    <w:p>
      <w:pPr>
        <w:pStyle w:val="null3"/>
        <w:ind w:firstLine="480"/>
      </w:pPr>
      <w:r>
        <w:rPr/>
        <w:t>采购计划编号：</w:t>
      </w:r>
      <w:r>
        <w:rPr/>
        <w:t>441226-2025-00872</w:t>
      </w:r>
    </w:p>
    <w:p>
      <w:pPr>
        <w:pStyle w:val="null3"/>
        <w:ind w:firstLine="480"/>
      </w:pPr>
      <w:r>
        <w:rPr/>
        <w:t>采购项目编号：</w:t>
      </w:r>
      <w:r>
        <w:rPr/>
        <w:t>ZH采2025-019</w:t>
      </w:r>
    </w:p>
    <w:p>
      <w:pPr>
        <w:pStyle w:val="null3"/>
        <w:ind w:firstLine="480"/>
      </w:pPr>
      <w:r>
        <w:rPr/>
        <w:t>采购方式：</w:t>
      </w:r>
      <w:r>
        <w:rPr/>
        <w:t>公开招标</w:t>
      </w:r>
    </w:p>
    <w:p>
      <w:pPr>
        <w:pStyle w:val="null3"/>
        <w:ind w:firstLine="480"/>
      </w:pPr>
      <w:r>
        <w:rPr/>
        <w:t>预算金额：</w:t>
      </w:r>
      <w:r>
        <w:rPr/>
        <w:t>2,588,600.00</w:t>
      </w:r>
      <w:r>
        <w:rPr/>
        <w:t>元</w:t>
      </w:r>
    </w:p>
    <w:p>
      <w:pPr>
        <w:pStyle w:val="null3"/>
        <w:outlineLvl w:val="3"/>
      </w:pPr>
      <w:r>
        <w:rPr>
          <w:sz w:val="24"/>
          <w:b/>
        </w:rPr>
        <w:t>2.项目内容及需求情况（采购项目技术规格、参数及要求）</w:t>
      </w:r>
    </w:p>
    <w:p>
      <w:pPr>
        <w:pStyle w:val="null3"/>
      </w:pPr>
      <w:r>
        <w:rPr/>
        <w:t>采购包1(德庆县2025年森林质量精准提升森林抚育项目):</w:t>
      </w:r>
    </w:p>
    <w:p>
      <w:pPr>
        <w:pStyle w:val="null3"/>
      </w:pPr>
      <w:r>
        <w:rPr/>
        <w:t>采购包预算金额：2,588,600.00元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林木抚育管理服务</w:t>
            </w:r>
          </w:p>
        </w:tc>
        <w:tc>
          <w:tcPr>
            <w:tcW w:type="dxa" w:w="2136"/>
          </w:tcPr>
          <w:p>
            <w:pPr>
              <w:pStyle w:val="null3"/>
            </w:pPr>
            <w:r>
              <w:rPr/>
              <w:t>德庆县2025年森林质量精准提升森林抚育项目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合同履行期限：2025年9月30日前完成抚育间伐或修枝、割灌除草、松土扩穴、追肥、培土、补植等所有工作，具体以合同为准。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采购包1（德庆县2025年森林质量精准提升森林抚育项目）：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采购包1（德庆县2025年森林质量精准提升森林抚育项目）：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3)供应商具备有效的造林绿化施工单位资质丙级或以上资质证书。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德庆县林业局</w:t>
      </w:r>
    </w:p>
    <w:p>
      <w:pPr>
        <w:pStyle w:val="null3"/>
        <w:ind w:firstLine="480"/>
      </w:pPr>
      <w:r>
        <w:rPr/>
        <w:t xml:space="preserve"> 地址：</w:t>
      </w:r>
      <w:r>
        <w:rPr/>
        <w:t>广东省肇庆市德庆县德庆大道12号</w:t>
      </w:r>
    </w:p>
    <w:p>
      <w:pPr>
        <w:pStyle w:val="null3"/>
        <w:ind w:firstLine="480"/>
      </w:pPr>
      <w:r>
        <w:rPr/>
        <w:t xml:space="preserve"> 联系方式：</w:t>
      </w:r>
      <w:r>
        <w:rPr/>
        <w:t>0758-7789116</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本项目作业设计主要以德庆县</w:t>
      </w:r>
      <w:r>
        <w:rPr>
          <w:sz w:val="21"/>
        </w:rPr>
        <w:t>2012年到2021年部分造林为基础，按照最新森林资源调查成果，利用1：10000地形图，在全县指定抚育作业区，选择符合抚育条件的地块（小班）作为森林抚育对象。本项目建设总面积为7600.0亩，分布在德庆县下属9个乡镇。详见《实施规模统计表》</w:t>
      </w:r>
      <w:r>
        <w:rPr>
          <w:sz w:val="21"/>
        </w:rPr>
        <w:t>。</w:t>
      </w:r>
    </w:p>
    <w:p>
      <w:pPr>
        <w:pStyle w:val="null3"/>
        <w:jc w:val="center"/>
      </w:pPr>
      <w:r>
        <w:rPr>
          <w:sz w:val="21"/>
        </w:rPr>
        <w:t>《</w:t>
      </w:r>
      <w:r>
        <w:rPr>
          <w:sz w:val="21"/>
        </w:rPr>
        <w:t>实施规模统计表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411"/>
        <w:gridCol w:w="411"/>
        <w:gridCol w:w="818"/>
        <w:gridCol w:w="719"/>
        <w:gridCol w:w="719"/>
        <w:gridCol w:w="818"/>
        <w:gridCol w:w="818"/>
        <w:gridCol w:w="719"/>
        <w:gridCol w:w="719"/>
        <w:gridCol w:w="719"/>
        <w:gridCol w:w="719"/>
        <w:gridCol w:w="719"/>
      </w:tblGrid>
      <w:tr>
        <w:tc>
          <w:tcPr>
            <w:tcW w:type="dxa" w:w="4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8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6669"/>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r>
      <w:tr>
        <w:tc>
          <w:tcPr>
            <w:tcW w:type="dxa" w:w="411"/>
            <w:vMerge/>
            <w:tcBorders>
              <w:top w:val="single" w:color="000000" w:sz="4"/>
              <w:left w:val="single" w:color="000000" w:sz="4"/>
              <w:bottom w:val="single" w:color="000000" w:sz="4"/>
              <w:right w:val="single" w:color="000000" w:sz="4"/>
            </w:tcBorders>
          </w:tcPr>
          <w:p/>
        </w:tc>
        <w:tc>
          <w:tcPr>
            <w:tcW w:type="dxa" w:w="411"/>
            <w:vMerge/>
            <w:tcBorders>
              <w:top w:val="single" w:color="000000" w:sz="4"/>
              <w:left w:val="none" w:color="000000" w:sz="4"/>
              <w:bottom w:val="single" w:color="000000" w:sz="4"/>
              <w:right w:val="single" w:color="000000" w:sz="4"/>
            </w:tcBorders>
          </w:tcPr>
          <w:p/>
        </w:tc>
        <w:tc>
          <w:tcPr>
            <w:tcW w:type="dxa" w:w="818"/>
            <w:vMerge/>
            <w:tcBorders>
              <w:top w:val="single" w:color="000000" w:sz="4"/>
              <w:left w:val="none" w:color="000000" w:sz="4"/>
              <w:bottom w:val="single" w:color="000000" w:sz="4"/>
              <w:right w:val="single" w:color="000000" w:sz="4"/>
            </w:tcBorders>
          </w:tcP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2012</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2013</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2014</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2015</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2016</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2017</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2019</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2020</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2021</w:t>
            </w:r>
          </w:p>
        </w:tc>
      </w:tr>
      <w:tr>
        <w:tc>
          <w:tcPr>
            <w:tcW w:type="dxa" w:w="822"/>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7600.0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602.7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490.8</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2504.0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2612.3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296.5</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299.9</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542.6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131.0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120.2</w:t>
            </w:r>
          </w:p>
        </w:tc>
      </w:tr>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德城</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1577.9</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310.3</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340.4</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820.6</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245.8</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574.8</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180.5</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2283.3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602.7</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1117.3</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452.9</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49.3</w:t>
            </w:r>
          </w:p>
        </w:tc>
      </w:tr>
    </w:tbl>
    <w:p>
      <w:pPr>
        <w:pStyle w:val="null3"/>
      </w:pPr>
      <w:r>
        <w:rPr>
          <w:sz w:val="28"/>
          <w:b/>
        </w:rPr>
        <w:t>二</w:t>
      </w:r>
      <w:r>
        <w:rPr>
          <w:sz w:val="28"/>
          <w:b/>
        </w:rPr>
        <w:t>、</w:t>
      </w:r>
      <w:r>
        <w:rPr>
          <w:sz w:val="28"/>
          <w:b/>
        </w:rPr>
        <w:t>工程量及物资需要量</w:t>
      </w:r>
    </w:p>
    <w:p>
      <w:pPr>
        <w:pStyle w:val="null3"/>
        <w:spacing w:before="150" w:after="150"/>
        <w:jc w:val="both"/>
        <w:outlineLvl w:val="1"/>
      </w:pPr>
      <w:r>
        <w:rPr>
          <w:sz w:val="21"/>
          <w:b/>
        </w:rPr>
        <w:t>（一）工程量</w:t>
      </w:r>
    </w:p>
    <w:p>
      <w:pPr>
        <w:pStyle w:val="null3"/>
        <w:ind w:firstLine="420"/>
        <w:jc w:val="both"/>
      </w:pPr>
      <w:r>
        <w:rPr>
          <w:sz w:val="21"/>
        </w:rPr>
        <w:t>工程量为</w:t>
      </w:r>
      <w:r>
        <w:rPr>
          <w:sz w:val="21"/>
        </w:rPr>
        <w:t>7600.0亩</w:t>
      </w:r>
      <w:r>
        <w:rPr>
          <w:sz w:val="21"/>
        </w:rPr>
        <w:t>。</w:t>
      </w:r>
    </w:p>
    <w:p>
      <w:pPr>
        <w:pStyle w:val="null3"/>
        <w:spacing w:before="150" w:after="150"/>
        <w:jc w:val="both"/>
        <w:outlineLvl w:val="1"/>
      </w:pPr>
      <w:r>
        <w:rPr>
          <w:sz w:val="21"/>
          <w:b/>
        </w:rPr>
        <w:t>（二）</w:t>
      </w:r>
      <w:r>
        <w:rPr>
          <w:sz w:val="21"/>
          <w:b/>
        </w:rPr>
        <w:t>苗木需要量</w:t>
      </w:r>
    </w:p>
    <w:p>
      <w:pPr>
        <w:pStyle w:val="null3"/>
        <w:ind w:firstLine="420"/>
        <w:jc w:val="left"/>
      </w:pPr>
      <w:r>
        <w:rPr>
          <w:sz w:val="21"/>
        </w:rPr>
        <w:t>本项目共需补植苗木</w:t>
      </w:r>
      <w:r>
        <w:rPr>
          <w:sz w:val="21"/>
        </w:rPr>
        <w:t>91744株，苗木计算含5%损耗。苗木需要量</w:t>
      </w:r>
      <w:r>
        <w:rPr>
          <w:sz w:val="21"/>
        </w:rPr>
        <w:t>详</w:t>
      </w:r>
      <w:r>
        <w:rPr>
          <w:sz w:val="21"/>
        </w:rPr>
        <w:t>见《苗木需要量表》。</w:t>
      </w:r>
    </w:p>
    <w:p>
      <w:pPr>
        <w:pStyle w:val="null3"/>
        <w:spacing w:before="150"/>
        <w:jc w:val="center"/>
      </w:pPr>
      <w:r>
        <w:rPr>
          <w:sz w:val="21"/>
        </w:rPr>
        <w:t>《</w:t>
      </w:r>
      <w:r>
        <w:rPr>
          <w:sz w:val="21"/>
        </w:rPr>
        <w:t>苗木需要量表</w:t>
      </w:r>
      <w:r>
        <w:rPr>
          <w:sz w:val="21"/>
        </w:rPr>
        <w:t>》</w:t>
      </w:r>
    </w:p>
    <w:p>
      <w:pPr>
        <w:pStyle w:val="null3"/>
        <w:spacing w:before="150"/>
        <w:jc w:val="right"/>
      </w:pPr>
      <w:r>
        <w:rPr>
          <w:sz w:val="21"/>
        </w:rPr>
        <w:t>单位：株</w:t>
      </w:r>
    </w:p>
    <w:tbl>
      <w:tblPr>
        <w:tblW w:w="0" w:type="auto"/>
        <w:tblBorders>
          <w:top w:val="none" w:color="000000" w:sz="4"/>
          <w:left w:val="none" w:color="000000" w:sz="4"/>
          <w:bottom w:val="none" w:color="000000" w:sz="4"/>
          <w:right w:val="none" w:color="000000" w:sz="4"/>
          <w:insideH w:val="none"/>
          <w:insideV w:val="none"/>
        </w:tblBorders>
      </w:tblPr>
      <w:tblGrid>
        <w:gridCol w:w="1527"/>
        <w:gridCol w:w="1741"/>
        <w:gridCol w:w="1567"/>
        <w:gridCol w:w="1665"/>
        <w:gridCol w:w="1804"/>
      </w:tblGrid>
      <w:tr>
        <w:tc>
          <w:tcPr>
            <w:tcW w:type="dxa" w:w="15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7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03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苗木实际需要数量（含</w:t>
            </w:r>
            <w:r>
              <w:rPr>
                <w:sz w:val="21"/>
                <w:b/>
                <w:color w:val="000000"/>
              </w:rPr>
              <w:t>5%损耗）（株）</w:t>
            </w:r>
          </w:p>
        </w:tc>
      </w:tr>
      <w:tr>
        <w:tc>
          <w:tcPr>
            <w:tcW w:type="dxa" w:w="1527"/>
            <w:vMerge/>
            <w:tcBorders>
              <w:top w:val="single" w:color="000000" w:sz="4"/>
              <w:left w:val="single" w:color="000000" w:sz="4"/>
              <w:bottom w:val="single" w:color="000000" w:sz="4"/>
              <w:right w:val="single" w:color="000000" w:sz="4"/>
            </w:tcBorders>
          </w:tcPr>
          <w:p/>
        </w:tc>
        <w:tc>
          <w:tcPr>
            <w:tcW w:type="dxa" w:w="1741"/>
            <w:vMerge/>
            <w:tcBorders>
              <w:top w:val="single" w:color="000000" w:sz="4"/>
              <w:left w:val="none" w:color="000000" w:sz="4"/>
              <w:bottom w:val="single" w:color="000000" w:sz="4"/>
              <w:right w:val="single" w:color="000000" w:sz="4"/>
            </w:tcBorders>
          </w:tcP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红锥</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木荷</w:t>
            </w:r>
          </w:p>
        </w:tc>
        <w:tc>
          <w:tcPr>
            <w:tcW w:type="dxa" w:w="1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火力楠</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91744</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7587</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45872</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38285</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1190</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5698</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2849</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2849</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6960</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3480</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3480</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19320</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1236</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9660</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8424</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6814</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3407</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3407</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11028</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5514</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4826</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10340</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5170</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5170</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2788</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1394</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27606</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13803</w:t>
            </w:r>
          </w:p>
        </w:tc>
        <w:tc>
          <w:tcPr>
            <w:tcW w:type="dxa" w:w="1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12383</w:t>
            </w:r>
          </w:p>
        </w:tc>
      </w:tr>
    </w:tbl>
    <w:p>
      <w:pPr>
        <w:pStyle w:val="null3"/>
        <w:spacing w:before="150" w:after="150"/>
        <w:jc w:val="both"/>
        <w:outlineLvl w:val="1"/>
      </w:pPr>
      <w:r>
        <w:rPr>
          <w:sz w:val="21"/>
          <w:b/>
        </w:rPr>
        <w:t>（三）肥料需要量</w:t>
      </w:r>
    </w:p>
    <w:p>
      <w:pPr>
        <w:pStyle w:val="null3"/>
        <w:ind w:firstLine="420"/>
        <w:jc w:val="left"/>
      </w:pPr>
      <w:r>
        <w:rPr>
          <w:sz w:val="21"/>
        </w:rPr>
        <w:t>本项目追肥共需复合肥</w:t>
      </w:r>
      <w:r>
        <w:rPr>
          <w:sz w:val="21"/>
        </w:rPr>
        <w:t>127397千克，其中抚育追肥肥料需要量为83708千克，补植苗木基肥肥料需要量为43689千克。肥料需要量详见《肥料需要量表》。</w:t>
      </w:r>
    </w:p>
    <w:p>
      <w:pPr>
        <w:pStyle w:val="null3"/>
        <w:spacing w:before="150"/>
        <w:jc w:val="center"/>
      </w:pPr>
      <w:r>
        <w:rPr>
          <w:sz w:val="21"/>
          <w:b/>
        </w:rPr>
        <w:t>《</w:t>
      </w:r>
      <w:r>
        <w:rPr>
          <w:sz w:val="21"/>
          <w:b/>
        </w:rPr>
        <w:t>肥料需要量表</w:t>
      </w:r>
      <w:r>
        <w:rPr>
          <w:sz w:val="21"/>
          <w:b/>
        </w:rPr>
        <w:t>》</w:t>
      </w:r>
    </w:p>
    <w:p>
      <w:pPr>
        <w:pStyle w:val="null3"/>
        <w:spacing w:before="150"/>
        <w:jc w:val="right"/>
      </w:pPr>
      <w:r>
        <w:rPr>
          <w:sz w:val="21"/>
        </w:rPr>
        <w:t>单位：千克</w:t>
      </w:r>
    </w:p>
    <w:tbl>
      <w:tblPr>
        <w:tblW w:w="0" w:type="auto"/>
        <w:tblBorders>
          <w:top w:val="none" w:color="000000" w:sz="4"/>
          <w:left w:val="none" w:color="000000" w:sz="4"/>
          <w:bottom w:val="none" w:color="000000" w:sz="4"/>
          <w:right w:val="none" w:color="000000" w:sz="4"/>
          <w:insideH w:val="none"/>
          <w:insideV w:val="none"/>
        </w:tblBorders>
      </w:tblPr>
      <w:tblGrid>
        <w:gridCol w:w="2053"/>
        <w:gridCol w:w="2053"/>
        <w:gridCol w:w="2138"/>
        <w:gridCol w:w="2058"/>
      </w:tblGrid>
      <w:tr>
        <w:tc>
          <w:tcPr>
            <w:tcW w:type="dxa" w:w="20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20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1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追肥</w:t>
            </w:r>
          </w:p>
        </w:tc>
        <w:tc>
          <w:tcPr>
            <w:tcW w:type="dxa" w:w="20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基肥</w:t>
            </w:r>
          </w:p>
        </w:tc>
      </w:tr>
      <w:tr>
        <w:tc>
          <w:tcPr>
            <w:tcW w:type="dxa" w:w="2053"/>
            <w:vMerge/>
            <w:tcBorders>
              <w:top w:val="single" w:color="000000" w:sz="4"/>
              <w:left w:val="single" w:color="000000" w:sz="4"/>
              <w:bottom w:val="single" w:color="000000" w:sz="4"/>
              <w:right w:val="single" w:color="000000" w:sz="4"/>
            </w:tcBorders>
          </w:tcPr>
          <w:p/>
        </w:tc>
        <w:tc>
          <w:tcPr>
            <w:tcW w:type="dxa" w:w="2053"/>
            <w:vMerge/>
            <w:tcBorders>
              <w:top w:val="single" w:color="000000" w:sz="4"/>
              <w:left w:val="none" w:color="000000" w:sz="4"/>
              <w:bottom w:val="single" w:color="000000" w:sz="4"/>
              <w:right w:val="single" w:color="000000" w:sz="4"/>
            </w:tcBorders>
          </w:tcPr>
          <w:p/>
        </w:tc>
        <w:tc>
          <w:tcPr>
            <w:tcW w:type="dxa" w:w="2138"/>
            <w:vMerge/>
            <w:tcBorders>
              <w:top w:val="single" w:color="000000" w:sz="4"/>
              <w:left w:val="none" w:color="000000" w:sz="4"/>
              <w:bottom w:val="single" w:color="000000" w:sz="4"/>
              <w:right w:val="single" w:color="000000" w:sz="4"/>
            </w:tcBorders>
          </w:tcPr>
          <w:p/>
        </w:tc>
        <w:tc>
          <w:tcPr>
            <w:tcW w:type="dxa" w:w="2058"/>
            <w:vMerge/>
            <w:tcBorders>
              <w:top w:val="single" w:color="000000" w:sz="4"/>
              <w:left w:val="none" w:color="000000" w:sz="4"/>
              <w:bottom w:val="single" w:color="000000" w:sz="4"/>
              <w:right w:val="single" w:color="000000" w:sz="4"/>
            </w:tcBorders>
          </w:tcP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127397</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83708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43689</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1090</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7597</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2714</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9693</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3314</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26743</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17541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9202</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9339</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3244</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15274</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14401</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9478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4923</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4585</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1329</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38109</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24962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13147</w:t>
            </w:r>
          </w:p>
        </w:tc>
      </w:tr>
    </w:tbl>
    <w:p>
      <w:pPr>
        <w:pStyle w:val="null3"/>
        <w:spacing w:before="150" w:after="150"/>
        <w:jc w:val="both"/>
        <w:outlineLvl w:val="0"/>
      </w:pPr>
      <w:r>
        <w:rPr>
          <w:sz w:val="28"/>
          <w:b/>
        </w:rPr>
        <w:t>三、</w:t>
      </w:r>
      <w:r>
        <w:rPr>
          <w:sz w:val="28"/>
          <w:b/>
        </w:rPr>
        <w:t>作业地分布及现状</w:t>
      </w:r>
    </w:p>
    <w:p>
      <w:pPr>
        <w:pStyle w:val="null3"/>
        <w:spacing w:before="240" w:after="150"/>
        <w:jc w:val="both"/>
        <w:outlineLvl w:val="1"/>
      </w:pPr>
      <w:r>
        <w:rPr>
          <w:sz w:val="21"/>
          <w:b/>
        </w:rPr>
        <w:t>（一）</w:t>
      </w:r>
      <w:r>
        <w:rPr>
          <w:sz w:val="21"/>
          <w:b/>
        </w:rPr>
        <w:t>作业地分布</w:t>
      </w:r>
    </w:p>
    <w:p>
      <w:pPr>
        <w:pStyle w:val="null3"/>
        <w:ind w:firstLine="420"/>
        <w:jc w:val="both"/>
      </w:pPr>
      <w:r>
        <w:rPr>
          <w:sz w:val="21"/>
        </w:rPr>
        <w:t>根据森林质量精准提升项目建设的依据和原则，结合当地的实际情况，本项目建设总面积为</w:t>
      </w:r>
      <w:r>
        <w:rPr>
          <w:sz w:val="21"/>
        </w:rPr>
        <w:t>7600.0亩，共51个作业小班。详见《作业地分布统计表》</w:t>
      </w:r>
      <w:r>
        <w:rPr>
          <w:sz w:val="21"/>
        </w:rPr>
        <w:t>。</w:t>
      </w:r>
    </w:p>
    <w:p>
      <w:pPr>
        <w:pStyle w:val="null3"/>
        <w:jc w:val="center"/>
      </w:pPr>
      <w:r>
        <w:rPr>
          <w:sz w:val="21"/>
        </w:rPr>
        <w:t>《</w:t>
      </w:r>
      <w:r>
        <w:rPr>
          <w:sz w:val="21"/>
        </w:rPr>
        <w:t>作业地分布统计表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1382"/>
        <w:gridCol w:w="1384"/>
        <w:gridCol w:w="1384"/>
        <w:gridCol w:w="1384"/>
        <w:gridCol w:w="1384"/>
        <w:gridCol w:w="1386"/>
      </w:tblGrid>
      <w:tr>
        <w:tc>
          <w:tcPr>
            <w:tcW w:type="dxa" w:w="1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41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原造林类型</w:t>
            </w:r>
          </w:p>
        </w:tc>
      </w:tr>
      <w:tr>
        <w:tc>
          <w:tcPr>
            <w:tcW w:type="dxa" w:w="1382"/>
            <w:vMerge/>
            <w:tcBorders>
              <w:top w:val="single" w:color="000000" w:sz="4"/>
              <w:left w:val="singl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人工造林</w:t>
            </w:r>
          </w:p>
        </w:tc>
        <w:tc>
          <w:tcPr>
            <w:tcW w:type="dxa" w:w="138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套种补植</w:t>
            </w:r>
          </w:p>
        </w:tc>
        <w:tc>
          <w:tcPr>
            <w:tcW w:type="dxa" w:w="13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更新改造</w:t>
            </w:r>
          </w:p>
        </w:tc>
      </w:tr>
      <w:tr>
        <w:tc>
          <w:tcPr>
            <w:tcW w:type="dxa" w:w="2766"/>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7600.0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5744.5</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1735.3</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120.2</w:t>
            </w:r>
          </w:p>
        </w:tc>
      </w:tr>
      <w:tr>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542.6</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268.5</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240.3</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552.9</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49.3</w:t>
            </w:r>
          </w:p>
        </w:tc>
      </w:tr>
    </w:tbl>
    <w:p>
      <w:pPr>
        <w:pStyle w:val="null3"/>
        <w:spacing w:before="240" w:after="150"/>
        <w:jc w:val="both"/>
        <w:outlineLvl w:val="1"/>
      </w:pPr>
      <w:r>
        <w:rPr>
          <w:sz w:val="21"/>
          <w:b/>
        </w:rPr>
        <w:t>（二）</w:t>
      </w:r>
      <w:r>
        <w:rPr>
          <w:sz w:val="21"/>
          <w:b/>
        </w:rPr>
        <w:t>作业地现状</w:t>
      </w:r>
    </w:p>
    <w:p>
      <w:pPr>
        <w:pStyle w:val="null3"/>
        <w:jc w:val="both"/>
      </w:pPr>
      <w:r>
        <w:rPr>
          <w:sz w:val="21"/>
        </w:rPr>
        <w:t xml:space="preserve">      本项目总面积为</w:t>
      </w:r>
      <w:r>
        <w:rPr>
          <w:sz w:val="21"/>
        </w:rPr>
        <w:t>7600.0亩，本期森林抚育作业小班林地地类以乔木林地为主，土地权属清楚，前期进行过人工造林、更新改造和套种补植，种植树种为红锥、木荷、火力楠、枫香、樟树、黎蒴、山杜英等，现保存苗高220-580厘米，现保存亩株数60-90株不等，其中6209.8亩为中龄林，1390.2亩为幼龄林。林地植被主要是桃金娘、木姜子、芒草、芒萁、山麻杆等杂草杂灌，部分造林地芒草较高，严重影响苗木生长。造林地海拔38-650米，坡度20°-35°，林地土壤主要为赤红壤，土层厚度约80厘米，腐殖质层厚5-8厘米。林地立地条件良好。</w:t>
      </w:r>
    </w:p>
    <w:p>
      <w:pPr>
        <w:pStyle w:val="null3"/>
      </w:pPr>
      <w:r>
        <w:rPr/>
        <w:t>采购包1（德庆县2025年森林质量精准提升森林抚育项目）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2025年9月30日前完成抚育间伐或修枝、割灌除草、松土扩穴、追肥、培土、补植等所有工作，具体以合同为准。</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1期：支付比例30%,签订政府采购合同后，支付合同价的30%作为项目预付款；</w:t>
            </w:r>
          </w:p>
          <w:p>
            <w:pPr>
              <w:pStyle w:val="null3"/>
            </w:pPr>
            <w:r>
              <w:rPr/>
              <w:t>2期：支付比例50%,按项目施工进度支付进度款，所支付金额不大于已完成工程量价款的80%；</w:t>
            </w:r>
          </w:p>
          <w:p>
            <w:pPr>
              <w:pStyle w:val="null3"/>
            </w:pPr>
            <w:r>
              <w:rPr/>
              <w:t>3期：支付比例20%,项目完工，经组织竣工验收合格后，申请支付清余下款项。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工序验收：中标单位完成割灌除草、抚育间伐或修枝、补植、施肥等每道施工工序后要全面进行自查，自查合格后以书面形式报建设单位申请检查验收，建设单位检查验收合格后报监理单位验收。肥料及苗木进场须向建设单位和监理单位报审，经监理单位检查验收合格后报建设单位。（2）培育验收：当年抚育全部工序结束后一个月内进行，验收内容包括抚育面积、苗木成活率、苗木生长指标、抚育措施、抚育质量等，要求按照作业设计进行抚育，抚育率达100%，补苗成活率达85%以上，否则必须返工直至合格后再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投标人须针对本项目制定突发事件处理措施（包括但不限于：人身安全意外事故、运输过程事故、施工过程事故、不可抗力事故等）。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按时按质按量完成工作任务，项目不能按时按质按量完工或虽能按时完工，但完成指标要求的合格率小于设计要求的90﹪，将视成交供应商无能力履行本合同，采购人有权终止合同，且一切费用由成交供应商自负，采购人不结付任何费用。 2.成交供应商完工经验收合格后，根据验收报告提供书面付款申请，采购人收到成交供应商付款申请、发票等申请资料后，按照当地财政部门的有关规定和合同约定15天内支付款项。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德庆县2025年森林质量精准提升森林抚育项目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2,588,600.00</w:t>
            </w:r>
          </w:p>
        </w:tc>
        <w:tc>
          <w:tcPr>
            <w:tcW w:type="dxa" w:w="933"/>
          </w:tcPr>
          <w:p>
            <w:pPr>
              <w:pStyle w:val="null3"/>
              <w:jc w:val="right"/>
            </w:pPr>
            <w:r>
              <w:rPr/>
              <w:t>2,588,600.00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德庆县2025年森林质量精准提升森林抚育项目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（一）抚育方式</w:t>
            </w:r>
          </w:p>
          <w:p>
            <w:pPr>
              <w:pStyle w:val="null3"/>
              <w:ind w:firstLine="420"/>
              <w:jc w:val="both"/>
            </w:pPr>
            <w:r>
              <w:rPr>
                <w:sz w:val="21"/>
              </w:rPr>
              <w:t>林地内植被茂密，不利于幼树生长和形成结构稳定的复层林，通过抚育间伐或修枝、割灌除草、松土扩穴、追肥、培土、补植等措施，可增加林内营养空间，给阔叶幼树创造良好生长环境。抚育工作重点在于清除影响幼树正常生长的灌木、杂草、树冠下部已枯死或濒临死的枝条及部分活枝。在进行割灌除草时要注意保护天然生长的阔叶幼树，可加快形成多层混交林，有利于逐步形成多树种、多层次森林结构，提高森林的生态效能。</w:t>
            </w:r>
          </w:p>
          <w:p>
            <w:pPr>
              <w:pStyle w:val="null3"/>
              <w:ind w:firstLine="422"/>
              <w:jc w:val="both"/>
            </w:pPr>
            <w:r>
              <w:rPr>
                <w:sz w:val="21"/>
                <w:b/>
              </w:rPr>
              <w:t>（二）技术要求</w:t>
            </w:r>
          </w:p>
          <w:p>
            <w:pPr>
              <w:pStyle w:val="null3"/>
              <w:ind w:firstLine="420"/>
              <w:jc w:val="both"/>
            </w:pPr>
            <w:r>
              <w:rPr>
                <w:sz w:val="21"/>
              </w:rPr>
              <w:t>1</w:t>
            </w:r>
            <w:r>
              <w:rPr>
                <w:sz w:val="21"/>
              </w:rPr>
              <w:t>、抚育间伐或修枝</w:t>
            </w:r>
          </w:p>
          <w:p>
            <w:pPr>
              <w:pStyle w:val="null3"/>
              <w:ind w:firstLine="420"/>
              <w:jc w:val="both"/>
            </w:pPr>
            <w:r>
              <w:rPr>
                <w:sz w:val="21"/>
              </w:rPr>
              <w:t>针对混交林，为了增加森林的透光率和苗木的存活率，为幼林有更好的生长发育空间需进行抚育间伐或修枝。方法如下：</w:t>
            </w:r>
          </w:p>
          <w:p>
            <w:pPr>
              <w:pStyle w:val="null3"/>
              <w:ind w:firstLine="420"/>
              <w:jc w:val="both"/>
            </w:pPr>
            <w:r>
              <w:rPr>
                <w:sz w:val="21"/>
              </w:rPr>
              <w:t>（</w:t>
            </w:r>
            <w:r>
              <w:rPr>
                <w:sz w:val="21"/>
              </w:rPr>
              <w:t>1</w:t>
            </w:r>
            <w:r>
              <w:rPr>
                <w:sz w:val="21"/>
              </w:rPr>
              <w:t>）抚育间伐：针对中龄林，主要伐除非目的树种、干扰树种，以及“老、弱、病、残”树，以调整树种组成和林分密度，优化林分结构，改善林木生长环境条件，促进保留木生长，缩短培育周期。</w:t>
            </w:r>
          </w:p>
          <w:p>
            <w:pPr>
              <w:pStyle w:val="null3"/>
              <w:ind w:firstLine="420"/>
              <w:jc w:val="both"/>
            </w:pPr>
            <w:r>
              <w:rPr>
                <w:sz w:val="21"/>
              </w:rPr>
              <w:t>（</w:t>
            </w:r>
            <w:r>
              <w:rPr>
                <w:sz w:val="21"/>
              </w:rPr>
              <w:t>2</w:t>
            </w:r>
            <w:r>
              <w:rPr>
                <w:sz w:val="21"/>
              </w:rPr>
              <w:t>）修枝：针对幼龄林，采取平切法，修去目的树种的枯死枝和树冠下部</w:t>
            </w:r>
            <w:r>
              <w:rPr>
                <w:sz w:val="21"/>
              </w:rPr>
              <w:t>1</w:t>
            </w:r>
            <w:r>
              <w:rPr>
                <w:sz w:val="21"/>
              </w:rPr>
              <w:t>～</w:t>
            </w:r>
            <w:r>
              <w:rPr>
                <w:sz w:val="21"/>
              </w:rPr>
              <w:t>2</w:t>
            </w:r>
            <w:r>
              <w:rPr>
                <w:sz w:val="21"/>
              </w:rPr>
              <w:t>轮活枝；修枝后保留冠长不低于树高的</w:t>
            </w:r>
            <w:r>
              <w:rPr>
                <w:sz w:val="21"/>
              </w:rPr>
              <w:t>2/3</w:t>
            </w:r>
            <w:r>
              <w:rPr>
                <w:sz w:val="21"/>
              </w:rPr>
              <w:t>，枝桩尽量修平，剪口不能伤害树干的韧皮部和木质部，防止撕裂树皮。</w:t>
            </w:r>
          </w:p>
          <w:p>
            <w:pPr>
              <w:pStyle w:val="null3"/>
              <w:ind w:firstLine="420"/>
              <w:jc w:val="both"/>
            </w:pPr>
            <w:r>
              <w:rPr>
                <w:sz w:val="21"/>
              </w:rPr>
              <w:t>间伐和修枝过程中产生的枯枝落叶要及时清理。</w:t>
            </w:r>
          </w:p>
          <w:p>
            <w:pPr>
              <w:pStyle w:val="null3"/>
              <w:ind w:firstLine="420"/>
              <w:jc w:val="both"/>
            </w:pPr>
            <w:r>
              <w:rPr>
                <w:sz w:val="21"/>
              </w:rPr>
              <w:t>2</w:t>
            </w:r>
            <w:r>
              <w:rPr>
                <w:sz w:val="21"/>
              </w:rPr>
              <w:t>、割灌除草</w:t>
            </w:r>
          </w:p>
          <w:p>
            <w:pPr>
              <w:pStyle w:val="null3"/>
              <w:ind w:firstLine="420"/>
              <w:jc w:val="both"/>
            </w:pPr>
            <w:r>
              <w:rPr>
                <w:sz w:val="21"/>
              </w:rPr>
              <w:t>采用带状割杂的方式清理林地，草（灌）桩高度不得高于</w:t>
            </w:r>
            <w:r>
              <w:rPr>
                <w:sz w:val="21"/>
              </w:rPr>
              <w:t>10cm</w:t>
            </w:r>
            <w:r>
              <w:rPr>
                <w:sz w:val="21"/>
              </w:rPr>
              <w:t>，带宽</w:t>
            </w:r>
            <w:r>
              <w:rPr>
                <w:sz w:val="21"/>
              </w:rPr>
              <w:t>1.2m</w:t>
            </w:r>
            <w:r>
              <w:rPr>
                <w:sz w:val="21"/>
              </w:rPr>
              <w:t>，清理的杂草块状堆沤，以增加土壤腐殖质，提高土壤肥力。加强对造林地原生散生树木和灌木的保护保留，打穴的位置刚好有乔木或灌木时，应将位置前移或后移。</w:t>
            </w:r>
          </w:p>
          <w:p>
            <w:pPr>
              <w:pStyle w:val="null3"/>
              <w:ind w:firstLine="420"/>
              <w:jc w:val="both"/>
            </w:pPr>
            <w:r>
              <w:rPr>
                <w:sz w:val="21"/>
              </w:rPr>
              <w:t>3</w:t>
            </w:r>
            <w:r>
              <w:rPr>
                <w:sz w:val="21"/>
              </w:rPr>
              <w:t>、松土扩穴</w:t>
            </w:r>
          </w:p>
          <w:p>
            <w:pPr>
              <w:pStyle w:val="null3"/>
              <w:ind w:firstLine="420"/>
              <w:jc w:val="both"/>
            </w:pPr>
            <w:r>
              <w:rPr>
                <w:sz w:val="21"/>
              </w:rPr>
              <w:t>割灌除草后，以幼树为中心，松土扩穴的半径不小于</w:t>
            </w:r>
            <w:r>
              <w:rPr>
                <w:sz w:val="21"/>
              </w:rPr>
              <w:t>0.6</w:t>
            </w:r>
            <w:r>
              <w:rPr>
                <w:sz w:val="21"/>
              </w:rPr>
              <w:t>米，操作时要求里浅外深，避免伤害苗木根系。</w:t>
            </w:r>
          </w:p>
          <w:p>
            <w:pPr>
              <w:pStyle w:val="null3"/>
              <w:ind w:firstLine="420"/>
              <w:jc w:val="both"/>
            </w:pPr>
            <w:r>
              <w:rPr>
                <w:sz w:val="21"/>
              </w:rPr>
              <w:t>4</w:t>
            </w:r>
            <w:r>
              <w:rPr>
                <w:sz w:val="21"/>
              </w:rPr>
              <w:t>、追肥</w:t>
            </w:r>
          </w:p>
          <w:p>
            <w:pPr>
              <w:pStyle w:val="null3"/>
              <w:ind w:firstLine="420"/>
              <w:jc w:val="both"/>
            </w:pPr>
            <w:r>
              <w:rPr>
                <w:sz w:val="21"/>
              </w:rPr>
              <w:t>松土扩穴后，将肥料追施于幼树周边土壤中，采用沟状埋施，施肥沟位于树冠投影外沿的上坡处，施肥穴规格为</w:t>
            </w:r>
            <w:r>
              <w:rPr>
                <w:sz w:val="21"/>
              </w:rPr>
              <w:t>20</w:t>
            </w:r>
            <w:r>
              <w:rPr>
                <w:sz w:val="21"/>
              </w:rPr>
              <w:t>×</w:t>
            </w:r>
            <w:r>
              <w:rPr>
                <w:sz w:val="21"/>
              </w:rPr>
              <w:t>20</w:t>
            </w:r>
            <w:r>
              <w:rPr>
                <w:sz w:val="21"/>
              </w:rPr>
              <w:t>×</w:t>
            </w:r>
            <w:r>
              <w:rPr>
                <w:sz w:val="21"/>
              </w:rPr>
              <w:t>20cm</w:t>
            </w:r>
            <w:r>
              <w:rPr>
                <w:sz w:val="21"/>
              </w:rPr>
              <w:t>，施肥后要及时覆土。要求施放复合肥，复合肥要求氮磷钾有效含量在</w:t>
            </w:r>
            <w:r>
              <w:rPr>
                <w:sz w:val="21"/>
              </w:rPr>
              <w:t>30%</w:t>
            </w:r>
            <w:r>
              <w:rPr>
                <w:sz w:val="21"/>
              </w:rPr>
              <w:t>以上，每株幼树施肥量为</w:t>
            </w:r>
            <w:r>
              <w:rPr>
                <w:sz w:val="21"/>
              </w:rPr>
              <w:t>0.15</w:t>
            </w:r>
            <w:r>
              <w:rPr>
                <w:sz w:val="21"/>
              </w:rPr>
              <w:t>千克。</w:t>
            </w:r>
          </w:p>
          <w:p>
            <w:pPr>
              <w:pStyle w:val="null3"/>
              <w:ind w:firstLine="420"/>
              <w:jc w:val="both"/>
            </w:pPr>
            <w:r>
              <w:rPr>
                <w:sz w:val="21"/>
              </w:rPr>
              <w:t>5</w:t>
            </w:r>
            <w:r>
              <w:rPr>
                <w:sz w:val="21"/>
              </w:rPr>
              <w:t>、培土</w:t>
            </w:r>
          </w:p>
          <w:p>
            <w:pPr>
              <w:pStyle w:val="null3"/>
              <w:ind w:firstLine="420"/>
              <w:jc w:val="both"/>
            </w:pPr>
            <w:r>
              <w:rPr>
                <w:sz w:val="21"/>
              </w:rPr>
              <w:t>追肥后培土，将幼树周边土壤回覆形成半径</w:t>
            </w:r>
            <w:r>
              <w:rPr>
                <w:sz w:val="21"/>
              </w:rPr>
              <w:t>0.4</w:t>
            </w:r>
            <w:r>
              <w:rPr>
                <w:sz w:val="21"/>
              </w:rPr>
              <w:t>米的圆形平台。</w:t>
            </w:r>
          </w:p>
          <w:p>
            <w:pPr>
              <w:pStyle w:val="null3"/>
              <w:ind w:firstLine="420"/>
              <w:jc w:val="both"/>
            </w:pPr>
            <w:r>
              <w:rPr>
                <w:sz w:val="21"/>
              </w:rPr>
              <w:t>6</w:t>
            </w:r>
            <w:r>
              <w:rPr>
                <w:sz w:val="21"/>
              </w:rPr>
              <w:t>、补植</w:t>
            </w:r>
          </w:p>
          <w:p>
            <w:pPr>
              <w:pStyle w:val="null3"/>
              <w:ind w:firstLine="420"/>
              <w:jc w:val="both"/>
            </w:pPr>
            <w:r>
              <w:rPr>
                <w:sz w:val="21"/>
              </w:rPr>
              <w:t>根据实际调查的各抚育小班保存率情况，对保存率低于</w:t>
            </w:r>
            <w:r>
              <w:rPr>
                <w:sz w:val="21"/>
              </w:rPr>
              <w:t>80%</w:t>
            </w:r>
            <w:r>
              <w:rPr>
                <w:sz w:val="21"/>
              </w:rPr>
              <w:t>的造林地进行补植。根据现场调查，本期抚育项目需补植的小班按原造林设计配置的树种不变，选用木荷</w:t>
            </w:r>
            <w:r>
              <w:rPr>
                <w:sz w:val="21"/>
              </w:rPr>
              <w:t>+</w:t>
            </w:r>
            <w:r>
              <w:rPr>
                <w:sz w:val="21"/>
              </w:rPr>
              <w:t>红锥或木荷</w:t>
            </w:r>
            <w:r>
              <w:rPr>
                <w:sz w:val="21"/>
              </w:rPr>
              <w:t>+</w:t>
            </w:r>
            <w:r>
              <w:rPr>
                <w:sz w:val="21"/>
              </w:rPr>
              <w:t>火力楠混交，混交比例采用十分法，按树种</w:t>
            </w:r>
            <w:r>
              <w:rPr>
                <w:sz w:val="21"/>
              </w:rPr>
              <w:t>5</w:t>
            </w:r>
            <w:r>
              <w:rPr>
                <w:sz w:val="21"/>
              </w:rPr>
              <w:t>：</w:t>
            </w:r>
            <w:r>
              <w:rPr>
                <w:sz w:val="21"/>
              </w:rPr>
              <w:t>5</w:t>
            </w:r>
            <w:r>
              <w:rPr>
                <w:sz w:val="21"/>
              </w:rPr>
              <w:t>进行补植。</w:t>
            </w:r>
          </w:p>
          <w:p>
            <w:pPr>
              <w:pStyle w:val="null3"/>
              <w:ind w:firstLine="420"/>
              <w:jc w:val="both"/>
            </w:pPr>
            <w:r>
              <w:rPr>
                <w:sz w:val="21"/>
              </w:rPr>
              <w:t>苗木应选用</w:t>
            </w:r>
            <w:r>
              <w:rPr>
                <w:sz w:val="21"/>
              </w:rPr>
              <w:t>1.5</w:t>
            </w:r>
            <w:r>
              <w:rPr>
                <w:sz w:val="21"/>
              </w:rPr>
              <w:t>年生以上，且无病虫害、无机械损伤、主根不穿袋的容器壮苗。苗木规格要求达到地径</w:t>
            </w:r>
            <w:r>
              <w:rPr>
                <w:sz w:val="21"/>
              </w:rPr>
              <w:t>0.8</w:t>
            </w:r>
            <w:r>
              <w:rPr>
                <w:sz w:val="21"/>
              </w:rPr>
              <w:t>厘米以上、苗高</w:t>
            </w:r>
            <w:r>
              <w:rPr>
                <w:sz w:val="21"/>
              </w:rPr>
              <w:t>80</w:t>
            </w:r>
            <w:r>
              <w:rPr>
                <w:sz w:val="21"/>
              </w:rPr>
              <w:t>厘米以上（红锥要求地径</w:t>
            </w:r>
            <w:r>
              <w:rPr>
                <w:sz w:val="21"/>
              </w:rPr>
              <w:t>0.6</w:t>
            </w:r>
            <w:r>
              <w:rPr>
                <w:sz w:val="21"/>
              </w:rPr>
              <w:t>厘米以上、苗高</w:t>
            </w:r>
            <w:r>
              <w:rPr>
                <w:sz w:val="21"/>
              </w:rPr>
              <w:t>60</w:t>
            </w:r>
            <w:r>
              <w:rPr>
                <w:sz w:val="21"/>
              </w:rPr>
              <w:t>厘米以上）。所有苗木必须具有“两证一签”（即生产经营许可证、产地检疫证或植物检疫证书、苗木标签），其中红锥须具有“良种证”，且人工造林的良种使用率达到相关要求。禁止使用无证、带病虫害的不合格苗木上山造林。</w:t>
            </w:r>
          </w:p>
          <w:p>
            <w:pPr>
              <w:pStyle w:val="null3"/>
              <w:ind w:firstLine="420"/>
              <w:jc w:val="both"/>
            </w:pPr>
            <w:r>
              <w:rPr>
                <w:sz w:val="21"/>
              </w:rPr>
              <w:t>补植最好在透雨后的阴雨天进行，补植前先打好合格穴，植穴规格为</w:t>
            </w:r>
            <w:r>
              <w:rPr>
                <w:sz w:val="21"/>
              </w:rPr>
              <w:t>50</w:t>
            </w:r>
            <w:r>
              <w:rPr>
                <w:sz w:val="21"/>
              </w:rPr>
              <w:t>厘米×</w:t>
            </w:r>
            <w:r>
              <w:rPr>
                <w:sz w:val="21"/>
              </w:rPr>
              <w:t>50</w:t>
            </w:r>
            <w:r>
              <w:rPr>
                <w:sz w:val="21"/>
              </w:rPr>
              <w:t>厘米×</w:t>
            </w:r>
            <w:r>
              <w:rPr>
                <w:sz w:val="21"/>
              </w:rPr>
              <w:t>40</w:t>
            </w:r>
            <w:r>
              <w:rPr>
                <w:sz w:val="21"/>
              </w:rPr>
              <w:t>厘米，再回穴土，回土时先把表土放入穴底，然后回心土两成，同时施放基肥</w:t>
            </w:r>
            <w:r>
              <w:rPr>
                <w:sz w:val="21"/>
              </w:rPr>
              <w:t>0.5kg/</w:t>
            </w:r>
            <w:r>
              <w:rPr>
                <w:sz w:val="21"/>
              </w:rPr>
              <w:t>穴，复合肥（</w:t>
            </w:r>
            <w:r>
              <w:rPr>
                <w:sz w:val="21"/>
              </w:rPr>
              <w:t>N</w:t>
            </w:r>
            <w:r>
              <w:rPr>
                <w:sz w:val="21"/>
              </w:rPr>
              <w:t>、</w:t>
            </w:r>
            <w:r>
              <w:rPr>
                <w:sz w:val="21"/>
              </w:rPr>
              <w:t>P</w:t>
            </w:r>
            <w:r>
              <w:rPr>
                <w:sz w:val="21"/>
              </w:rPr>
              <w:t>、</w:t>
            </w:r>
            <w:r>
              <w:rPr>
                <w:sz w:val="21"/>
              </w:rPr>
              <w:t>K</w:t>
            </w:r>
            <w:r>
              <w:rPr>
                <w:sz w:val="21"/>
              </w:rPr>
              <w:t>含量≥</w:t>
            </w:r>
            <w:r>
              <w:rPr>
                <w:sz w:val="21"/>
              </w:rPr>
              <w:t>30%</w:t>
            </w:r>
            <w:r>
              <w:rPr>
                <w:sz w:val="21"/>
              </w:rPr>
              <w:t>）并充分混匀，再将心土回至八成，剩余部分在植苗时回填。植苗时扯去苗木营养袋带土轻放于栽植孔中，扶正苗木并在苗木四周回细土，轻提苗后压实，使苗木与原土紧密接触，继续回土至穴面，压实后再回松土成馒头状，以减少水分蒸发。</w:t>
            </w:r>
          </w:p>
          <w:p>
            <w:pPr>
              <w:pStyle w:val="null3"/>
              <w:ind w:firstLine="420"/>
              <w:jc w:val="both"/>
            </w:pPr>
            <w:r>
              <w:rPr>
                <w:sz w:val="21"/>
              </w:rPr>
              <w:t>（</w:t>
            </w:r>
            <w:r>
              <w:rPr>
                <w:sz w:val="21"/>
              </w:rPr>
              <w:t>1</w:t>
            </w:r>
            <w:r>
              <w:rPr>
                <w:sz w:val="21"/>
              </w:rPr>
              <w:t>）红锥（</w:t>
            </w:r>
            <w:r>
              <w:rPr>
                <w:sz w:val="21"/>
              </w:rPr>
              <w:t>Castanopsis hystrix Miq.</w:t>
            </w:r>
            <w:r>
              <w:rPr>
                <w:sz w:val="21"/>
              </w:rPr>
              <w:t>）</w:t>
            </w:r>
          </w:p>
          <w:p>
            <w:pPr>
              <w:pStyle w:val="null3"/>
              <w:ind w:firstLine="420"/>
              <w:jc w:val="both"/>
            </w:pPr>
            <w:r>
              <w:rPr>
                <w:sz w:val="21"/>
              </w:rPr>
              <w:t>红锥，别名红木黎、锥栗，壳斗科锥属常绿乔木。喜湿润、温暖、多雨的季风气候。红锥材质优良，木材坚硬耐腐，色泽和纹理美观，是高级家具、工艺雕刻、建筑装修等优质用材。</w:t>
            </w:r>
          </w:p>
          <w:p>
            <w:pPr>
              <w:pStyle w:val="null3"/>
              <w:ind w:firstLine="420"/>
              <w:jc w:val="both"/>
            </w:pPr>
            <w:r>
              <w:rPr>
                <w:sz w:val="21"/>
              </w:rPr>
              <w:t>（</w:t>
            </w:r>
            <w:r>
              <w:rPr>
                <w:sz w:val="21"/>
              </w:rPr>
              <w:t>2</w:t>
            </w:r>
            <w:r>
              <w:rPr>
                <w:sz w:val="21"/>
              </w:rPr>
              <w:t>）木荷（</w:t>
            </w:r>
            <w:r>
              <w:rPr>
                <w:sz w:val="21"/>
              </w:rPr>
              <w:t>Schima snperba Gardn. et champ.</w:t>
            </w:r>
            <w:r>
              <w:rPr>
                <w:sz w:val="21"/>
              </w:rPr>
              <w:t>）</w:t>
            </w:r>
          </w:p>
          <w:p>
            <w:pPr>
              <w:pStyle w:val="null3"/>
              <w:ind w:firstLine="420"/>
              <w:jc w:val="both"/>
            </w:pPr>
            <w:r>
              <w:rPr>
                <w:sz w:val="21"/>
              </w:rPr>
              <w:t>木荷又名荷木、荷树，山茶科常绿乔木，中性偏阴树种，适应性强。幼年耐荫，成年喜光。荷木萌芽力强，适生于气候温暖湿润、排水良好的酸性土壤，是亚热带山地先锋树种之一。树冠浓密，叶革质，不易着火，是最著名的防火树种之一，同时保持水土、涵养水源效果十分良好。是广东重要的用材、防火树种，也是营造混交林的理想伴生树种。</w:t>
            </w:r>
          </w:p>
          <w:p>
            <w:pPr>
              <w:pStyle w:val="null3"/>
              <w:ind w:firstLine="420"/>
              <w:jc w:val="both"/>
            </w:pPr>
            <w:r>
              <w:rPr>
                <w:sz w:val="21"/>
              </w:rPr>
              <w:t>（</w:t>
            </w:r>
            <w:r>
              <w:rPr>
                <w:sz w:val="21"/>
              </w:rPr>
              <w:t>3</w:t>
            </w:r>
            <w:r>
              <w:rPr>
                <w:sz w:val="21"/>
              </w:rPr>
              <w:t>）醉香含笑（</w:t>
            </w:r>
            <w:r>
              <w:rPr>
                <w:sz w:val="21"/>
              </w:rPr>
              <w:t>Michelia macclurei Dandy</w:t>
            </w:r>
            <w:r>
              <w:rPr>
                <w:sz w:val="21"/>
              </w:rPr>
              <w:t>）</w:t>
            </w:r>
          </w:p>
          <w:p>
            <w:pPr>
              <w:pStyle w:val="null3"/>
              <w:jc w:val="both"/>
            </w:pPr>
            <w:r>
              <w:rPr>
                <w:sz w:val="21"/>
              </w:rPr>
              <w:t>醉香含笑又名火力楠，木兰科含笑属乔木，高可达</w:t>
            </w:r>
            <w:r>
              <w:rPr>
                <w:sz w:val="21"/>
              </w:rPr>
              <w:t>30</w:t>
            </w:r>
            <w:r>
              <w:rPr>
                <w:sz w:val="21"/>
              </w:rPr>
              <w:t>米，胸径达</w:t>
            </w:r>
            <w:r>
              <w:rPr>
                <w:sz w:val="21"/>
              </w:rPr>
              <w:t>1</w:t>
            </w:r>
            <w:r>
              <w:rPr>
                <w:sz w:val="21"/>
              </w:rPr>
              <w:t>米左右，生长迅速，喜光、稍耐荫，喜温暖湿润气候，喜土层深厚的酸性土壤。火力楠耐旱、耐瘠薄，耐寒性较强，具有一定的抗风能力，主根不明显、侧根发达，为浅根系树种；具有一定的抗火能力，又是优良的防火树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德庆县2025年森林质量精准提升森林抚育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采购包1（德庆县2025年森林质量精准提升森林抚育项目）：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采购包1（德庆县2025年森林质量精准提升森林抚育项目）：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供应商具备有效的造林绿化施工单位资质丙级或以上资质证书。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采购包1（德庆县2025年森林质量精准提升森林抚育项目）：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2025年9月30日前完成抚育间伐或修枝、割灌除草、松土扩穴、追肥、培土、补植等所有工作，具体以合同为准。</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采购包1(德庆县2025年森林质量精准提升森林抚育项目):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p>
        </w:tc>
        <w:tc>
          <w:tcPr>
            <w:tcW w:type="dxa" w:w="5076"/>
          </w:tcPr>
          <w:p>
            <w:pPr>
              <w:pStyle w:val="null3"/>
              <w:jc w:val="left"/>
            </w:pPr>
            <w:r>
              <w:rPr/>
              <w:t>根据投标供应商所提供的项目施工方案进行综合评审（包括但不限于：技术、物资、劳动组织准备、施工管理、施工重难点等）：（1）项目施工方案内容描述全面，方案思路严谨、清晰，提供的各项方案合理，内容齐全，易于实行，项目实施过程中的重点难点分析全面准确，相应提出的建议针对性强的，得15分； （2）项目施工方案内容描述详细合理，方案思路较为清晰，能结合项目实际情况，大部分满足项目需求，项目实施过程中的重点难点分析基本准确，相应提出的建议有一定的针对性的，得10分； （3）项目施工方案内容含糊，方案有欠缺或者描述简单，可操作一般，针对性一般，不能完全满足项目需求的，得5分； （4）项目实施方案内容缺失严重或各项描述内容与本项目不相关，不能满足项目需求的，得1分； （5）不提供方案不得分。</w:t>
            </w:r>
          </w:p>
        </w:tc>
      </w:tr>
      <w:tr>
        <w:tc>
          <w:tcPr>
            <w:tcW w:type="dxa" w:w="922"/>
            <w:gridSpan w:val="2"/>
            <w:vMerge/>
          </w:tcPr>
          <w:p/>
        </w:tc>
        <w:tc>
          <w:tcPr>
            <w:tcW w:type="dxa" w:w="2307"/>
          </w:tcPr>
          <w:p>
            <w:pPr>
              <w:pStyle w:val="null3"/>
              <w:jc w:val="left"/>
            </w:pPr>
            <w:r>
              <w:rPr/>
              <w:t>项目实施进度计划 (15.0分)</w:t>
            </w:r>
          </w:p>
        </w:tc>
        <w:tc>
          <w:tcPr>
            <w:tcW w:type="dxa" w:w="5076"/>
          </w:tcPr>
          <w:p>
            <w:pPr>
              <w:pStyle w:val="null3"/>
              <w:jc w:val="left"/>
            </w:pPr>
            <w:r>
              <w:rPr/>
              <w:t>根据投标供应商所提供的项目实施进度计划进行综合评审（包括实施过程计划、完成期计划安排和实施进度计划保障措施等）进行评分：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（2）提供的项目实施进度计划基本满足实施要求的，完成期计划安排和实施进度计划保障措施较全面，符合本项目实际情况，各阶段进度计划保证体系措施大部分有效、有一定的可行性，得10分； （3）提供的项目实施进度计划基本满足实施要求的，完成期计划安排和实施进度计划保障措施一般，方案措施具有一定的合理性和可行性，但未体现在进度能提供保障，得5分； （4）提供的项目实施进度计划缺乏合理性，完成期计划安排和实施进度计划保障措施未具备可行性的，难以为实施过程提供保障的工作安排及其保证措施，内容缺失严重，没有针对性，得1分； （5）不提供方案不得分。</w:t>
            </w:r>
          </w:p>
        </w:tc>
      </w:tr>
      <w:tr>
        <w:tc>
          <w:tcPr>
            <w:tcW w:type="dxa" w:w="922"/>
            <w:gridSpan w:val="2"/>
            <w:vMerge/>
          </w:tcPr>
          <w:p/>
        </w:tc>
        <w:tc>
          <w:tcPr>
            <w:tcW w:type="dxa" w:w="2307"/>
          </w:tcPr>
          <w:p>
            <w:pPr>
              <w:pStyle w:val="null3"/>
              <w:jc w:val="left"/>
            </w:pPr>
            <w:r>
              <w:rPr/>
              <w:t>质量保障措施 (15.0分)</w:t>
            </w:r>
          </w:p>
        </w:tc>
        <w:tc>
          <w:tcPr>
            <w:tcW w:type="dxa" w:w="5076"/>
          </w:tcPr>
          <w:p>
            <w:pPr>
              <w:pStyle w:val="null3"/>
              <w:jc w:val="left"/>
            </w:pPr>
            <w:r>
              <w:rPr/>
              <w:t>根据投标供应商所提供的质量保障措施进行综合评审（包括但不限于：质量目标、质量管理、质量保障措施等）：（1）提供的质量目标、质量管理和质量保障措施内容表达清晰，内容深度贴合，有效的保障项目质量，执行程度高，完全满足或优于采购需求，得15分； （2）提供的质量目标、质量管理和质量保障措施符合本项目实际情况，能保障项目质量，针对性较强、可行性较高，大部分满足采购需求的，得10分； （3）提供的质量目标、质量管理和质量保障措施存在欠缺之处，难以保障项目质量，实际操作有一定难度，不能完全满足项目需求，得5分； （4）提供的质量目标、质量管理和质量保障措施不合理、没有针对性、可操作差，不能满足项目需求的，得1分； （5）不提供方案不得分。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不能完全满足项目需求的，得4分；（4）安全管理措施、安全文明措施、环境保护措施方案不合理，可操作性、可行性差的，不能满足项目需求的，得1分；（5）不提供方案不得分。</w:t>
            </w:r>
          </w:p>
        </w:tc>
      </w:tr>
      <w:tr>
        <w:tc>
          <w:tcPr>
            <w:tcW w:type="dxa" w:w="922"/>
            <w:gridSpan w:val="2"/>
            <w:vMerge/>
          </w:tcPr>
          <w:p/>
        </w:tc>
        <w:tc>
          <w:tcPr>
            <w:tcW w:type="dxa" w:w="2307"/>
          </w:tcPr>
          <w:p>
            <w:pPr>
              <w:pStyle w:val="null3"/>
              <w:jc w:val="left"/>
            </w:pPr>
            <w:r>
              <w:rPr/>
              <w:t>突发事件处理措施 (10.0分)</w:t>
            </w:r>
          </w:p>
        </w:tc>
        <w:tc>
          <w:tcPr>
            <w:tcW w:type="dxa" w:w="5076"/>
          </w:tcPr>
          <w:p>
            <w:pPr>
              <w:pStyle w:val="null3"/>
              <w:jc w:val="left"/>
            </w:pPr>
            <w:r>
              <w:rPr/>
              <w:t>根据投标供应商所提供的突发事件处理措施进行综合评审（包括但不限于：人身安全意外事故、运输过程事故、施工过程事故、不可抗力事故等）：（1）投标供应商具备完善的突发事件处理措，能根据项目特点，有效分析可能出现的紧急情况及类别，按不同情况制定出突发事件处理保障方案，方案论证清晰、安排合理、可操作性强，及时解决突发事件，能快速完成采购人提出的应急任务，得10分； （2）投标供应商具备比较完善的突发事件处理措，能根据项目特点，有效分析及制定出突发事件处理保障方案，方案论证基本清晰 ，安排较为合理、具备一定的可操作性，但实施过程复杂繁琐的，不能快速完成采购人提出的应急任务，得7分 ； （3）投标供应商具备不太完善的突发事件处理措，能制定出突发事件处理保障方案，但方案欠缺合理安排，可操作性一般，难以解决突发事件及采购人提出的应急任务，得4分； （4）突发事件处理措方案简单，可操作性、可行性差，无法解决突发事件及采购人提出的应急任务，得1分（5）不提供方案不得分。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2022年1月1日至今（以合同签订时间为准）投标供应商承接过的同类项目业绩，每提供1个项目得3分，最高得9分。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具有林业或相关专业中级（或以上）工程师职称的，得5分；具有林业或相关专业助理工程师职称的，得2分。 本项最高得5分。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(8.0分)</w:t>
            </w:r>
          </w:p>
        </w:tc>
        <w:tc>
          <w:tcPr>
            <w:tcW w:type="dxa" w:w="5076"/>
          </w:tcPr>
          <w:p>
            <w:pPr>
              <w:pStyle w:val="null3"/>
              <w:jc w:val="left"/>
            </w:pPr>
            <w:r>
              <w:rPr/>
              <w:t>（1）投入的其他人员中具有林业或相关专业中级（或以上）工程师职称的，得4分；具有林业或相关专业助理工程师职称的，得2分；本项最高得8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pPr>
      <w:r>
        <w:rPr>
          <w:sz w:val="27"/>
          <w:color w:val="222222"/>
        </w:rPr>
        <w:t>1期：支付比例30%,签订政府采购合同后，支付合同价的30%作为项目预付款；</w:t>
      </w:r>
    </w:p>
    <w:p>
      <w:pPr>
        <w:pStyle w:val="null3"/>
      </w:pPr>
      <w:r>
        <w:rPr>
          <w:sz w:val="27"/>
          <w:color w:val="222222"/>
        </w:rPr>
        <w:t>2期：支付比例50%,按项目施工进度支付进度款，所支付金额不得大于已完成工程量价款的80%；</w:t>
      </w:r>
    </w:p>
    <w:p>
      <w:pPr>
        <w:pStyle w:val="null3"/>
      </w:pPr>
      <w:r>
        <w:rPr>
          <w:sz w:val="27"/>
          <w:color w:val="222222"/>
        </w:rPr>
        <w:t>3期：支付比例20%,项目完工，经组织竣工验收合格后，申请支付清余下款项。</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441226-2025-00872</w:t>
      </w:r>
    </w:p>
    <w:p>
      <w:pPr>
        <w:pStyle w:val="null3"/>
        <w:jc w:val="center"/>
        <w:outlineLvl w:val="3"/>
      </w:pPr>
      <w:r>
        <w:rPr>
          <w:sz w:val="24"/>
          <w:b/>
        </w:rPr>
        <w:t>采购项目编号：</w:t>
      </w:r>
      <w:r>
        <w:rPr>
          <w:sz w:val="24"/>
          <w:b/>
        </w:rPr>
        <w:t>ZH采2025-019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德庆县2025年森林质量精准提升森林抚育项目</w:t>
      </w:r>
      <w:r>
        <w:rPr>
          <w:u w:val="single"/>
        </w:rPr>
        <w:t>”</w:t>
      </w:r>
      <w:r>
        <w:rPr/>
        <w:t>项目的招标[采购项目编号为：</w:t>
      </w:r>
      <w:r>
        <w:rPr>
          <w:u w:val="single"/>
        </w:rPr>
        <w:t>ZH采2025-019</w:t>
      </w:r>
      <w:r>
        <w:rPr/>
        <w:t>]，我方愿参与投标。</w:t>
      </w:r>
    </w:p>
    <w:p>
      <w:pPr>
        <w:pStyle w:val="null3"/>
        <w:ind w:firstLine="480"/>
      </w:pPr>
      <w:r>
        <w:rPr/>
        <w:t>我方确认收到贵方提供的</w:t>
      </w:r>
      <w:r>
        <w:rPr>
          <w:u w:val="single"/>
        </w:rPr>
        <w:t>“</w:t>
      </w:r>
      <w:r>
        <w:rPr>
          <w:u w:val="single"/>
        </w:rPr>
        <w:t>德庆县2025年森林质量精准提升森林抚育项目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德庆县2025年森林质量精准提升森林抚育项目</w:t>
      </w:r>
      <w:r>
        <w:rPr/>
        <w:t>”项目采购[采购项目编号为</w:t>
      </w:r>
      <w:r>
        <w:rPr/>
        <w:t>ZH采2025-019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德庆县2025年森林质量精准提升森林抚育项目</w:t>
      </w:r>
      <w:r>
        <w:rPr/>
        <w:t>招标中获中标（采购项目编号：</w:t>
      </w:r>
      <w:r>
        <w:rPr/>
        <w:t>ZH采2025-019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德庆县2025年森林质量精准提升森林抚育项目</w:t>
      </w:r>
      <w:r>
        <w:rPr/>
        <w:t>”项目（采购项目编号：</w:t>
      </w:r>
      <w:r>
        <w:rPr/>
        <w:t>ZH采2025-019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